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2010/7 vom 12. November 2010</w:t>
      </w:r>
    </w:p>
    <w:p>
      <w:r>
        <w:t>Sg Versicherungsgericht, 2010-11-12, DE</w:t>
      </w:r>
    </w:p>
    <w:p>
      <w:r>
        <w:rPr>
          <w:b/>
        </w:rPr>
        <w:t xml:space="preserve">Quelle: </w:t>
      </w:r>
      <w:r>
        <w:t>https://mcp.opencaselaw.ch/entscheid/sg_publikationen_AVI 2010_7</w:t>
      </w:r>
    </w:p>
    <w:p>
      <w:r>
        <w:t>FR: SG_VERSICHERUNGSGERICHT AVI 2010/7 du 12 novembre 2010</w:t>
      </w:r>
    </w:p>
    <w:p>
      <w:r>
        <w:t>IT: SG_VERSICHERUNGSGERICHT AVI 2010/7 del 12 novembre 2010</w:t>
      </w:r>
    </w:p>
    <w:p>
      <w:pPr>
        <w:pStyle w:val="Heading2"/>
      </w:pPr>
      <w:r>
        <w:t>Regeste</w:t>
      </w:r>
    </w:p>
    <w:p>
      <w:r>
        <w:t>Art. 31 Abs. 3 lit. c AVIG. Beschwerdeführer ist als mitarbeitender Ehegatte einer arbeitgeberähnlichen Person vom Anspruch auf Arbeitslosenentschädigung ausgeschlossen. Frage offen gelassen, ob er selbst als arbeitgeberähnliche Person zu qualifizieren ist (Entscheid des Versicherungsgerichts des Kantons St. Gallen vom 12. November 2010, AVI 2010/7).</w:t>
      </w:r>
    </w:p>
    <w:p>
      <w:pPr>
        <w:pStyle w:val="Heading2"/>
      </w:pPr>
      <w:r>
        <w:t>Erwägungen</w:t>
      </w:r>
    </w:p>
    <w:p>
      <w:r>
        <w:rPr>
          <w:b/>
        </w:rPr>
        <w:t>E. 1.1</w:t>
      </w:r>
    </w:p>
    <w:p>
      <w:r>
        <w:t>Vorliegend streitig ist der Anspruch des Beschwerdeführers auf Arbeitslosenentschädigung. Die Beschwerdegegnerin verneint einen solchen, da kein Lohnfluss nachgewiesen sei (act. G 3.8). Obschon von der Beschwerdegegnerin nicht bestritten, ist vorweg die Frage zu prüfen, ob der Beschwerdeführer als Person mit arbeitgeberähnlicher Stellung bzw. als Ehegatte einer arbeitgeberähnlichen Person vom Anspruch auf Arbeitslosenentschädigung ausgeschlossen ist.</w:t>
      </w:r>
    </w:p>
    <w:p>
      <w:r>
        <w:rPr>
          <w:b/>
        </w:rPr>
        <w:t>E. 1.2</w:t>
      </w:r>
    </w:p>
    <w:p>
      <w:r>
        <w:t>Zur Rechtsanwendung von Amtes wegen gehört, dass das Gericht eine im Ergebnis richtige, aber falsch begründete Verfügung mit anderen rechtlichen Überlegungen bestätigt. Der beschwerdeführenden Person ist dabei vorgängig Gelegenheit zu geben, sich zur neuen rechtlichen Ausgangslage zu äussern (vgl. Urteil des Bundesgerichts vom 3. November 2008, 9C_562/08, E. 6.1 mit Hinweis). Der Beschwerdeführer äusserte sich in der Stellungnahme vom 2. September 2010 zur Frage der arbeitgeberähnlichen Stellung (act. G 9).</w:t>
      </w:r>
    </w:p>
    <w:p>
      <w:r>
        <w:rPr>
          <w:b/>
        </w:rPr>
        <w:t>E. 2.1</w:t>
      </w:r>
    </w:p>
    <w:p>
      <w:r>
        <w:t>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w:t>
      </w:r>
    </w:p>
    <w:p>
      <w:r>
        <w:rPr>
          <w:b/>
        </w:rPr>
        <w:t>E. 2.2</w:t>
      </w:r>
    </w:p>
    <w:p>
      <w:r>
        <w:t>In BGE 123 V 234 ff. hat das damalige Eidgenössische Versicherungsgericht (EVG; seit 1. Januar 2007: Sozialrechtliche Abteilungen des Bundesgerichts)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 f., N 21 der Vorbemerkungen zu Art. 31 - 41). In einem solchen Fall sei eine Arbeitnehmerin oder ein Arbeitnehmer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 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(ARV 2002 Nr. 28 S. 184 f. E. 2/3a; BGE 123 V 238 f. mit Hinweisen). Werde die unternehmerische Dispositionsfreiheit, das Unternehmen jederzeit zu reaktivieren und sich bei Bedarf erneut als Arbeitnehmer oder als Arbeitnehmerin einzustellen, erhalten, laufe dies auf die rechtsmissbräuchliche Umgehung von Art. 31 Abs. 3 lit. c AVIG hinaus, welche Regelung ihrem Sinn nach der Missbrauchsverhütung diene und dabei insbesondere dem Umstand Rechnung tragen wolle, dass der Arbeitsausfall arbeitgeberähnlicher Personen praktisch nicht kontrollierbar sei, da sie ihn aufgrund ihrer Stellung bestimmen oder massgeblich beeinflussen können (BGE 123 V 238 E. 7b/bb). Analoges gilt auch für den Ehegatten einer Person mit arbeitgeberähnlicher Stellung (BGE 123 V 237 E. 7a), stünde es der arbeitgeberähnlichen Person doch auch hier frei, ihren Ehegatten zu entlassen und bei besseren wirtschaftlichen Verhältnissen wieder einzustellen.</w:t>
      </w:r>
    </w:p>
    <w:p>
      <w:r>
        <w:rPr>
          <w:b/>
        </w:rPr>
        <w:t>E. 2.3</w:t>
      </w:r>
    </w:p>
    <w:p>
      <w:r>
        <w:t>Im Beschwerdeverfahren betreffend die Ehegattin des Beschwerdeführers gelangt das Versicherungsgericht zur Auffassung, dass sie auch nach dem Auflösungsbeschluss vom September 2009 als Person mit arbeitgeberähnlicher Stellung keinen Anspruch auf Arbeitslosenentschädigung habe. Dabei falle ins Gewicht, dass die Ehegattin aufgrund des Besitzes eines Stammanteils von Fr. 14'000.-- bei einem Stammkapital von Fr. 20'000.-- (die restliche Stammeinlage war und ist im Besitz des Beschwerdeführers) auch nach dem Auflösungsbeschluss die Geschicke der Gesellschafterversammlung und der Gesellschaft massgeblich beeinflussen könne. Insbesondere verfüge sie über die Dispositionsfreiheit, ihre Zeichnungsberechtigung - oder diejenige des Beschwerdeführers - wiederherzustellen, den externen Liquidator abzuberufen, den Betrieb - allenfalls in neuer Lokalität - jederzeit fortzuführen und sich oder den Beschwerdeführer bei Bedarf erneut als Arbeitnehmerin oder Arbeitnehmer einzustellen (Urteil des Versicherungsgerichts vom 12. November 2010, AVI 2010/25, E. 2.3). Dem Beschwerdeführer bleibt daher als Ehegatte einer arbeitgeberähnlichen Person ein Anspruch auf Arbeitslosenentschädigung verwehrt. Ohnehin scheint der Beschwerdeführer selbst mit Blick auf seine nach wie vor bestehende Stellung als Gesellschafter und Geschäftsführer der B.___ in Liquidation - wenn auch gegenwärtig ohne Zeichnungsberechtigung - selbst als Person mit arbeitgeberähnlicher Stellung vom Anspruch auf Arbeitslosenentschädigung ausgeschlossen zu sein. Wie es sich damit verhält, kann aber letztlich offen gelassen werden, da der Beschwerdeführer zumindest als mitarbeitender Ehegatte einer arbeitgeberähnlichen Person zu gelten hat und bis zur Löschung der Gesellschaft im Handelsregister vom Anspruch auf Arbeitslosenentschädigung ausgeschlossen ist. Vor diesem Hintergrund kann die von der Beschwerdegegnerin aufgeworfene und von ihr verneinte Frage, ob der Beschwerdeführer einen Lohnfluss habe nachweisen können, vorerst offen gelassen werden.</w:t>
      </w:r>
    </w:p>
    <w:p>
      <w:r>
        <w:rPr>
          <w:b/>
        </w:rPr>
        <w:t>E. 3</w:t>
      </w:r>
    </w:p>
    <w:p>
      <w:r>
        <w:t>Nach dem Gesagten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